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830A24" w:rsidRPr="00830A24" w:rsidP="00830A24">
      <w:pPr>
        <w:spacing w:line="480" w:lineRule="auto"/>
        <w:jc w:val="center"/>
        <w:rPr>
          <w:rFonts w:ascii="Times New Roman" w:hAnsi="Times New Roman" w:cs="Times New Roman"/>
          <w:sz w:val="24"/>
          <w:szCs w:val="24"/>
        </w:rPr>
      </w:pPr>
      <w:r w:rsidRPr="00830A24">
        <w:rPr>
          <w:rFonts w:ascii="Times New Roman" w:hAnsi="Times New Roman" w:cs="Times New Roman"/>
          <w:sz w:val="24"/>
          <w:szCs w:val="24"/>
        </w:rPr>
        <w:t>Childhood Acute lymphocytic leukemia and G6PD deficiency</w:t>
      </w:r>
    </w:p>
    <w:p w:rsidR="003A2102" w:rsidRPr="00830A24" w:rsidP="00830A24">
      <w:pPr>
        <w:spacing w:line="480" w:lineRule="auto"/>
        <w:jc w:val="center"/>
        <w:rPr>
          <w:rFonts w:ascii="Times New Roman" w:hAnsi="Times New Roman" w:cs="Times New Roman"/>
          <w:sz w:val="24"/>
          <w:szCs w:val="24"/>
        </w:rPr>
      </w:pPr>
      <w:r w:rsidRPr="00830A24">
        <w:rPr>
          <w:rFonts w:ascii="Times New Roman" w:hAnsi="Times New Roman" w:cs="Times New Roman"/>
          <w:sz w:val="24"/>
          <w:szCs w:val="24"/>
        </w:rPr>
        <w:t>Student’s Name</w:t>
      </w:r>
    </w:p>
    <w:p w:rsidR="00830A24" w:rsidRPr="00830A24" w:rsidP="00830A24">
      <w:pPr>
        <w:spacing w:line="480" w:lineRule="auto"/>
        <w:jc w:val="center"/>
        <w:rPr>
          <w:rFonts w:ascii="Times New Roman" w:hAnsi="Times New Roman" w:cs="Times New Roman"/>
          <w:sz w:val="24"/>
          <w:szCs w:val="24"/>
        </w:rPr>
      </w:pPr>
      <w:r w:rsidRPr="00830A24">
        <w:rPr>
          <w:rFonts w:ascii="Times New Roman" w:hAnsi="Times New Roman" w:cs="Times New Roman"/>
          <w:sz w:val="24"/>
          <w:szCs w:val="24"/>
        </w:rPr>
        <w:t>Institutional Affiliation</w:t>
      </w:r>
    </w:p>
    <w:p w:rsidR="00830A24" w:rsidRPr="00830A24" w:rsidP="00830A24">
      <w:pPr>
        <w:spacing w:line="480" w:lineRule="auto"/>
        <w:jc w:val="center"/>
        <w:rPr>
          <w:rFonts w:ascii="Times New Roman" w:hAnsi="Times New Roman" w:cs="Times New Roman"/>
          <w:sz w:val="24"/>
          <w:szCs w:val="24"/>
        </w:rPr>
      </w:pPr>
      <w:r w:rsidRPr="00830A24">
        <w:rPr>
          <w:rFonts w:ascii="Times New Roman" w:hAnsi="Times New Roman" w:cs="Times New Roman"/>
          <w:sz w:val="24"/>
          <w:szCs w:val="24"/>
        </w:rPr>
        <w:t>Date</w:t>
      </w: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3A2102" w:rsidP="003A2102">
      <w:pPr>
        <w:spacing w:line="480" w:lineRule="auto"/>
        <w:rPr>
          <w:rFonts w:ascii="Times New Roman" w:hAnsi="Times New Roman" w:cs="Times New Roman"/>
          <w:b/>
          <w:sz w:val="24"/>
          <w:szCs w:val="24"/>
        </w:rPr>
      </w:pPr>
    </w:p>
    <w:p w:rsidR="00E7777C" w:rsidP="003A2102">
      <w:pPr>
        <w:spacing w:line="480" w:lineRule="auto"/>
        <w:rPr>
          <w:rFonts w:ascii="Times New Roman" w:hAnsi="Times New Roman" w:cs="Times New Roman"/>
          <w:b/>
          <w:sz w:val="24"/>
          <w:szCs w:val="24"/>
        </w:rPr>
      </w:pPr>
    </w:p>
    <w:p w:rsidR="003A2102" w:rsidRPr="003A2102" w:rsidP="003A2102">
      <w:pPr>
        <w:spacing w:line="480" w:lineRule="auto"/>
        <w:jc w:val="center"/>
        <w:rPr>
          <w:rFonts w:ascii="Times New Roman" w:hAnsi="Times New Roman" w:cs="Times New Roman"/>
          <w:b/>
          <w:sz w:val="24"/>
          <w:szCs w:val="24"/>
        </w:rPr>
      </w:pPr>
      <w:r w:rsidRPr="003A2102">
        <w:rPr>
          <w:rFonts w:ascii="Times New Roman" w:hAnsi="Times New Roman" w:cs="Times New Roman"/>
          <w:b/>
          <w:sz w:val="24"/>
          <w:szCs w:val="24"/>
        </w:rPr>
        <w:t xml:space="preserve">Childhood Acute </w:t>
      </w:r>
      <w:r>
        <w:rPr>
          <w:rFonts w:ascii="Times New Roman" w:hAnsi="Times New Roman" w:cs="Times New Roman"/>
          <w:b/>
          <w:sz w:val="24"/>
          <w:szCs w:val="24"/>
        </w:rPr>
        <w:t>l</w:t>
      </w:r>
      <w:r w:rsidRPr="003A2102">
        <w:rPr>
          <w:rFonts w:ascii="Times New Roman" w:hAnsi="Times New Roman" w:cs="Times New Roman"/>
          <w:b/>
          <w:sz w:val="24"/>
          <w:szCs w:val="24"/>
        </w:rPr>
        <w:t>ymphocytic leukemia</w:t>
      </w:r>
      <w:r w:rsidR="00924CA1">
        <w:rPr>
          <w:rFonts w:ascii="Times New Roman" w:hAnsi="Times New Roman" w:cs="Times New Roman"/>
          <w:b/>
          <w:sz w:val="24"/>
          <w:szCs w:val="24"/>
        </w:rPr>
        <w:t xml:space="preserve"> (ALL)</w:t>
      </w:r>
      <w:r w:rsidRPr="003A2102">
        <w:rPr>
          <w:rFonts w:ascii="Times New Roman" w:hAnsi="Times New Roman" w:cs="Times New Roman"/>
          <w:b/>
          <w:sz w:val="24"/>
          <w:szCs w:val="24"/>
        </w:rPr>
        <w:t xml:space="preserve"> and G6PD Deficiency
</w:t>
      </w:r>
    </w:p>
    <w:p w:rsidR="00086CD4" w:rsidRPr="003A2102" w:rsidP="003A2102">
      <w:pPr>
        <w:spacing w:line="480" w:lineRule="auto"/>
        <w:ind w:firstLine="720"/>
        <w:rPr>
          <w:rFonts w:ascii="Times New Roman" w:hAnsi="Times New Roman" w:cs="Times New Roman"/>
          <w:sz w:val="24"/>
          <w:szCs w:val="24"/>
        </w:rPr>
      </w:pPr>
      <w:r w:rsidRPr="003A2102">
        <w:rPr>
          <w:rFonts w:ascii="Times New Roman" w:hAnsi="Times New Roman" w:cs="Times New Roman"/>
          <w:sz w:val="24"/>
          <w:szCs w:val="24"/>
        </w:rPr>
        <w:t xml:space="preserve">Childhood </w:t>
      </w:r>
      <w:r w:rsidR="00830A24">
        <w:rPr>
          <w:rFonts w:ascii="Times New Roman" w:hAnsi="Times New Roman" w:cs="Times New Roman"/>
          <w:sz w:val="24"/>
          <w:szCs w:val="24"/>
        </w:rPr>
        <w:t>a</w:t>
      </w:r>
      <w:r w:rsidRPr="003A2102" w:rsidR="000B2F4A">
        <w:rPr>
          <w:rFonts w:ascii="Times New Roman" w:hAnsi="Times New Roman" w:cs="Times New Roman"/>
          <w:sz w:val="24"/>
          <w:szCs w:val="24"/>
        </w:rPr>
        <w:t xml:space="preserve">cute </w:t>
      </w:r>
      <w:r w:rsidR="00830A24">
        <w:rPr>
          <w:rFonts w:ascii="Times New Roman" w:hAnsi="Times New Roman" w:cs="Times New Roman"/>
          <w:sz w:val="24"/>
          <w:szCs w:val="24"/>
        </w:rPr>
        <w:t xml:space="preserve">lymphocytic </w:t>
      </w:r>
      <w:r w:rsidRPr="003A2102" w:rsidR="000B2F4A">
        <w:rPr>
          <w:rFonts w:ascii="Times New Roman" w:hAnsi="Times New Roman" w:cs="Times New Roman"/>
          <w:sz w:val="24"/>
          <w:szCs w:val="24"/>
        </w:rPr>
        <w:t xml:space="preserve">leukemia (ALL) is the most common type of cancer in children. It is a type of cancer that is caused by the </w:t>
      </w:r>
      <w:r w:rsidRPr="003A2102">
        <w:rPr>
          <w:rFonts w:ascii="Times New Roman" w:hAnsi="Times New Roman" w:cs="Times New Roman"/>
          <w:sz w:val="24"/>
          <w:szCs w:val="24"/>
        </w:rPr>
        <w:t>production of too many immature lymphocytes in the bone marrow</w:t>
      </w:r>
      <w:r w:rsidRPr="003A2102" w:rsidR="00472A97">
        <w:rPr>
          <w:rFonts w:ascii="Times New Roman" w:hAnsi="Times New Roman" w:cs="Times New Roman"/>
          <w:sz w:val="24"/>
          <w:szCs w:val="24"/>
        </w:rPr>
        <w:t xml:space="preserve"> (Campana &amp; Pui, 2017).</w:t>
      </w:r>
      <w:r w:rsidRPr="003A2102">
        <w:rPr>
          <w:rFonts w:ascii="Times New Roman" w:hAnsi="Times New Roman" w:cs="Times New Roman"/>
          <w:sz w:val="24"/>
          <w:szCs w:val="24"/>
        </w:rPr>
        <w:t xml:space="preserve"> </w:t>
      </w:r>
      <w:r w:rsidRPr="003A2102" w:rsidR="000B2F4A">
        <w:rPr>
          <w:rFonts w:ascii="Times New Roman" w:hAnsi="Times New Roman" w:cs="Times New Roman"/>
          <w:sz w:val="24"/>
          <w:szCs w:val="24"/>
        </w:rPr>
        <w:t xml:space="preserve">It represents more than a quarter of all cancers in children. </w:t>
      </w:r>
      <w:r w:rsidRPr="003A2102" w:rsidR="000B2F4A">
        <w:rPr>
          <w:rFonts w:ascii="Times New Roman" w:hAnsi="Times New Roman" w:cs="Times New Roman"/>
          <w:sz w:val="24"/>
          <w:szCs w:val="24"/>
        </w:rPr>
        <w:t>The annual incidence of acute lymphoblastic leukemia in the US is 3.7-4.9 cases per 1000 children aged 0-14 years. The incidence peaks in children between the ages of 2 to 5 years. This disease acc</w:t>
      </w:r>
      <w:bookmarkStart w:id="0" w:name="_GoBack"/>
      <w:bookmarkEnd w:id="0"/>
      <w:r w:rsidRPr="003A2102" w:rsidR="000B2F4A">
        <w:rPr>
          <w:rFonts w:ascii="Times New Roman" w:hAnsi="Times New Roman" w:cs="Times New Roman"/>
          <w:sz w:val="24"/>
          <w:szCs w:val="24"/>
        </w:rPr>
        <w:t xml:space="preserve">ounts for 18.8% of all cancer cases in children under the age of 20. </w:t>
      </w:r>
      <w:r w:rsidRPr="003A2102">
        <w:rPr>
          <w:rFonts w:ascii="Times New Roman" w:hAnsi="Times New Roman" w:cs="Times New Roman"/>
          <w:sz w:val="24"/>
          <w:szCs w:val="24"/>
        </w:rPr>
        <w:t xml:space="preserve">ALL </w:t>
      </w:r>
      <w:r w:rsidRPr="003A2102" w:rsidR="00BA6798">
        <w:rPr>
          <w:rFonts w:ascii="Times New Roman" w:hAnsi="Times New Roman" w:cs="Times New Roman"/>
          <w:sz w:val="24"/>
          <w:szCs w:val="24"/>
        </w:rPr>
        <w:t xml:space="preserve">develops when a bone marrow cell develops errors in its DNA. This leads to the uncontrolled creation of immature cells (white). Clinical manifestations of ALL include fever, bone pain, severe nose bleeds, shortness of breath, bleeding gums, and </w:t>
      </w:r>
      <w:r w:rsidRPr="003A2102" w:rsidR="00E35406">
        <w:rPr>
          <w:rFonts w:ascii="Times New Roman" w:hAnsi="Times New Roman" w:cs="Times New Roman"/>
          <w:sz w:val="24"/>
          <w:szCs w:val="24"/>
        </w:rPr>
        <w:t xml:space="preserve">general body weakness and </w:t>
      </w:r>
      <w:r w:rsidRPr="003A2102" w:rsidR="00BA6798">
        <w:rPr>
          <w:rFonts w:ascii="Times New Roman" w:hAnsi="Times New Roman" w:cs="Times New Roman"/>
          <w:sz w:val="24"/>
          <w:szCs w:val="24"/>
        </w:rPr>
        <w:t xml:space="preserve">fatigue. </w:t>
      </w:r>
      <w:r w:rsidRPr="003A2102" w:rsidR="00256761">
        <w:rPr>
          <w:rFonts w:ascii="Times New Roman" w:hAnsi="Times New Roman" w:cs="Times New Roman"/>
          <w:sz w:val="24"/>
          <w:szCs w:val="24"/>
        </w:rPr>
        <w:t xml:space="preserve">Evaluation of ALL involves taking </w:t>
      </w:r>
      <w:r w:rsidRPr="003A2102" w:rsidR="00380BFC">
        <w:rPr>
          <w:rFonts w:ascii="Times New Roman" w:hAnsi="Times New Roman" w:cs="Times New Roman"/>
          <w:sz w:val="24"/>
          <w:szCs w:val="24"/>
        </w:rPr>
        <w:t xml:space="preserve">small samples of the bone marrow and taking it to the lab for testing leukemia cells. </w:t>
      </w:r>
      <w:r w:rsidRPr="003A2102" w:rsidR="00EA056D">
        <w:rPr>
          <w:rFonts w:ascii="Times New Roman" w:hAnsi="Times New Roman" w:cs="Times New Roman"/>
          <w:sz w:val="24"/>
          <w:szCs w:val="24"/>
        </w:rPr>
        <w:t>Other tests include blood, spinal fluid, and imaging tests. The spinal fluid test is made to ascertain whether cancer cells have spread over the spinal fluid.</w:t>
      </w:r>
      <w:r w:rsidRPr="003A2102" w:rsidR="00184D11">
        <w:rPr>
          <w:rFonts w:ascii="Times New Roman" w:hAnsi="Times New Roman" w:cs="Times New Roman"/>
          <w:sz w:val="24"/>
          <w:szCs w:val="24"/>
        </w:rPr>
        <w:t xml:space="preserve"> ALL is a treatable disease. Treatment </w:t>
      </w:r>
      <w:r w:rsidRPr="003A2102" w:rsidR="00784EF5">
        <w:rPr>
          <w:rFonts w:ascii="Times New Roman" w:hAnsi="Times New Roman" w:cs="Times New Roman"/>
          <w:sz w:val="24"/>
          <w:szCs w:val="24"/>
        </w:rPr>
        <w:t xml:space="preserve">of ALL includes chemotherapy, radiation therapy, targeted therapy, and bone marrow transplant. </w:t>
      </w:r>
    </w:p>
    <w:p w:rsidR="003E78C3" w:rsidRPr="003A2102" w:rsidP="003A2102">
      <w:pPr>
        <w:spacing w:line="480" w:lineRule="auto"/>
        <w:ind w:firstLine="720"/>
        <w:rPr>
          <w:rFonts w:ascii="Times New Roman" w:hAnsi="Times New Roman" w:cs="Times New Roman"/>
          <w:sz w:val="24"/>
          <w:szCs w:val="24"/>
        </w:rPr>
      </w:pPr>
      <w:r w:rsidRPr="003A2102">
        <w:rPr>
          <w:rFonts w:ascii="Times New Roman" w:hAnsi="Times New Roman" w:cs="Times New Roman"/>
          <w:sz w:val="24"/>
          <w:szCs w:val="24"/>
        </w:rPr>
        <w:t>G6PD deficiency is a genetic disorder caused by an insufficient glucose-6-phosphate enzyme</w:t>
      </w:r>
      <w:r w:rsidRPr="003A2102" w:rsidR="00450A68">
        <w:rPr>
          <w:rFonts w:ascii="Times New Roman" w:hAnsi="Times New Roman" w:cs="Times New Roman"/>
          <w:sz w:val="24"/>
          <w:szCs w:val="24"/>
        </w:rPr>
        <w:t xml:space="preserve"> (Beutler, 1994).</w:t>
      </w:r>
      <w:r w:rsidRPr="003A2102" w:rsidR="00637D3A">
        <w:rPr>
          <w:rFonts w:ascii="Times New Roman" w:hAnsi="Times New Roman" w:cs="Times New Roman"/>
          <w:sz w:val="24"/>
          <w:szCs w:val="24"/>
        </w:rPr>
        <w:t xml:space="preserve"> This enzyme helps red blood cells to work, and its Deficiency in the body leads to G6P Deficiency. In this case, the red blood cells do not make enough G6PD, which protects them. Since they are not protected, the RBC breaks apart in a process called hemolysis. G6PD Deficiency is common in males than in females. The disease affects about 400 million people globally. </w:t>
      </w:r>
      <w:r w:rsidRPr="003A2102" w:rsidR="006B0880">
        <w:rPr>
          <w:rFonts w:ascii="Times New Roman" w:hAnsi="Times New Roman" w:cs="Times New Roman"/>
          <w:sz w:val="24"/>
          <w:szCs w:val="24"/>
        </w:rPr>
        <w:t>Its clinical manifestations include fever, abdominal pain, irritability, jaundice, dark urine, fatigue, and pale skin</w:t>
      </w:r>
      <w:r w:rsidRPr="003A2102" w:rsidR="00593CA7">
        <w:rPr>
          <w:rFonts w:ascii="Times New Roman" w:hAnsi="Times New Roman" w:cs="Times New Roman"/>
          <w:sz w:val="24"/>
          <w:szCs w:val="24"/>
        </w:rPr>
        <w:t xml:space="preserve"> (Cappellini &amp; Fiorelli, 2008)</w:t>
      </w:r>
      <w:r w:rsidRPr="003A2102" w:rsidR="006B0880">
        <w:rPr>
          <w:rFonts w:ascii="Times New Roman" w:hAnsi="Times New Roman" w:cs="Times New Roman"/>
          <w:sz w:val="24"/>
          <w:szCs w:val="24"/>
        </w:rPr>
        <w:t>. Its evaluation involves tak</w:t>
      </w:r>
      <w:r w:rsidRPr="003A2102" w:rsidR="00FD05A9">
        <w:rPr>
          <w:rFonts w:ascii="Times New Roman" w:hAnsi="Times New Roman" w:cs="Times New Roman"/>
          <w:sz w:val="24"/>
          <w:szCs w:val="24"/>
        </w:rPr>
        <w:t>ing capillary samples and blood samples</w:t>
      </w:r>
      <w:r w:rsidRPr="003A2102" w:rsidR="006B0880">
        <w:rPr>
          <w:rFonts w:ascii="Times New Roman" w:hAnsi="Times New Roman" w:cs="Times New Roman"/>
          <w:sz w:val="24"/>
          <w:szCs w:val="24"/>
        </w:rPr>
        <w:t>.</w:t>
      </w:r>
      <w:r w:rsidRPr="003A2102" w:rsidR="00FD05A9">
        <w:rPr>
          <w:rFonts w:ascii="Times New Roman" w:hAnsi="Times New Roman" w:cs="Times New Roman"/>
          <w:sz w:val="24"/>
          <w:szCs w:val="24"/>
        </w:rPr>
        <w:t xml:space="preserve"> Tests are carried out on the blood to confirm the diagnosis.</w:t>
      </w:r>
      <w:r w:rsidRPr="003A2102" w:rsidR="006B0880">
        <w:rPr>
          <w:rFonts w:ascii="Times New Roman" w:hAnsi="Times New Roman" w:cs="Times New Roman"/>
          <w:sz w:val="24"/>
          <w:szCs w:val="24"/>
        </w:rPr>
        <w:t xml:space="preserve"> </w:t>
      </w:r>
      <w:r w:rsidRPr="003A2102" w:rsidR="00FD05A9">
        <w:rPr>
          <w:rFonts w:ascii="Times New Roman" w:hAnsi="Times New Roman" w:cs="Times New Roman"/>
          <w:sz w:val="24"/>
          <w:szCs w:val="24"/>
        </w:rPr>
        <w:t>Treatment of G6PD involves removing the trigger, such as stopping the use of drugs. In children, treatment may involve transfusion of healthy blood cells. 
</w:t>
      </w:r>
    </w:p>
    <w:p w:rsidR="00F07760"/>
    <w:p w:rsidR="00F07760"/>
    <w:p w:rsidR="00F07760"/>
    <w:p w:rsidR="00F07760"/>
    <w:p w:rsidR="00F07760"/>
    <w:p w:rsidR="00F07760"/>
    <w:p w:rsidR="00F07760"/>
    <w:p w:rsidR="00F07760"/>
    <w:p w:rsidR="00F07760"/>
    <w:p w:rsidR="00F07760"/>
    <w:p w:rsidR="00F07760"/>
    <w:p w:rsidR="00F07760"/>
    <w:p w:rsidR="00F07760"/>
    <w:p w:rsidR="00F07760"/>
    <w:p w:rsidR="00E7777C">
      <w:pPr>
        <w:rPr>
          <w:b/>
        </w:rPr>
      </w:pPr>
    </w:p>
    <w:p w:rsidR="00E7777C">
      <w:pPr>
        <w:rPr>
          <w:b/>
        </w:rPr>
      </w:pPr>
    </w:p>
    <w:p w:rsidR="00E7777C">
      <w:pPr>
        <w:rPr>
          <w:b/>
        </w:rPr>
      </w:pPr>
    </w:p>
    <w:p w:rsidR="00E7777C">
      <w:pPr>
        <w:rPr>
          <w:b/>
        </w:rPr>
      </w:pPr>
    </w:p>
    <w:p w:rsidR="00E7777C">
      <w:pPr>
        <w:rPr>
          <w:b/>
        </w:rPr>
      </w:pPr>
    </w:p>
    <w:p w:rsidR="00E7777C">
      <w:pPr>
        <w:rPr>
          <w:b/>
        </w:rPr>
      </w:pPr>
    </w:p>
    <w:p w:rsidR="00E7777C">
      <w:pPr>
        <w:rPr>
          <w:b/>
        </w:rPr>
      </w:pPr>
    </w:p>
    <w:p w:rsidR="00E7777C">
      <w:pPr>
        <w:rPr>
          <w:b/>
        </w:rPr>
      </w:pPr>
    </w:p>
    <w:p w:rsidR="00E7777C">
      <w:pPr>
        <w:rPr>
          <w:b/>
        </w:rPr>
      </w:pPr>
    </w:p>
    <w:p w:rsidR="00E7777C">
      <w:pPr>
        <w:rPr>
          <w:b/>
        </w:rPr>
      </w:pPr>
    </w:p>
    <w:p w:rsidR="00E7777C">
      <w:pPr>
        <w:rPr>
          <w:b/>
        </w:rPr>
      </w:pPr>
    </w:p>
    <w:p w:rsidR="00E7777C">
      <w:pPr>
        <w:rPr>
          <w:b/>
        </w:rPr>
      </w:pPr>
    </w:p>
    <w:p w:rsidR="00F07760" w:rsidRPr="00E7777C" w:rsidP="00E7777C">
      <w:pPr>
        <w:spacing w:line="480" w:lineRule="auto"/>
        <w:jc w:val="center"/>
        <w:rPr>
          <w:rFonts w:ascii="Times New Roman" w:hAnsi="Times New Roman" w:cs="Times New Roman"/>
          <w:b/>
          <w:sz w:val="24"/>
          <w:szCs w:val="24"/>
        </w:rPr>
      </w:pPr>
      <w:r w:rsidRPr="00E7777C">
        <w:rPr>
          <w:rFonts w:ascii="Times New Roman" w:hAnsi="Times New Roman" w:cs="Times New Roman"/>
          <w:b/>
          <w:sz w:val="24"/>
          <w:szCs w:val="24"/>
        </w:rPr>
        <w:t>References</w:t>
      </w:r>
    </w:p>
    <w:p w:rsidR="00E7777C" w:rsidRPr="00E7777C" w:rsidP="00E7777C">
      <w:pPr>
        <w:spacing w:line="480" w:lineRule="auto"/>
        <w:ind w:left="720" w:hanging="720"/>
        <w:rPr>
          <w:rFonts w:ascii="Times New Roman" w:hAnsi="Times New Roman" w:cs="Times New Roman"/>
          <w:sz w:val="24"/>
          <w:szCs w:val="24"/>
        </w:rPr>
      </w:pPr>
      <w:r w:rsidRPr="00E7777C">
        <w:rPr>
          <w:rFonts w:ascii="Times New Roman" w:hAnsi="Times New Roman" w:cs="Times New Roman"/>
          <w:sz w:val="24"/>
          <w:szCs w:val="24"/>
        </w:rPr>
        <w:t>Beutler, E. (1994). G6PD deficiency. </w:t>
      </w:r>
      <w:r w:rsidRPr="00E7777C">
        <w:rPr>
          <w:rFonts w:ascii="Times New Roman" w:hAnsi="Times New Roman" w:cs="Times New Roman"/>
          <w:i/>
          <w:iCs/>
          <w:sz w:val="24"/>
          <w:szCs w:val="24"/>
        </w:rPr>
        <w:t>Blood</w:t>
      </w:r>
      <w:r w:rsidRPr="00E7777C">
        <w:rPr>
          <w:rFonts w:ascii="Times New Roman" w:hAnsi="Times New Roman" w:cs="Times New Roman"/>
          <w:sz w:val="24"/>
          <w:szCs w:val="24"/>
        </w:rPr>
        <w:t>, </w:t>
      </w:r>
      <w:r w:rsidRPr="00E7777C">
        <w:rPr>
          <w:rFonts w:ascii="Times New Roman" w:hAnsi="Times New Roman" w:cs="Times New Roman"/>
          <w:i/>
          <w:iCs/>
          <w:sz w:val="24"/>
          <w:szCs w:val="24"/>
        </w:rPr>
        <w:t>84</w:t>
      </w:r>
      <w:r w:rsidRPr="00E7777C">
        <w:rPr>
          <w:rFonts w:ascii="Times New Roman" w:hAnsi="Times New Roman" w:cs="Times New Roman"/>
          <w:sz w:val="24"/>
          <w:szCs w:val="24"/>
        </w:rPr>
        <w:t>(11), 3613-3636.</w:t>
      </w:r>
    </w:p>
    <w:p w:rsidR="00E7777C" w:rsidRPr="00E7777C" w:rsidP="00E7777C">
      <w:pPr>
        <w:spacing w:line="480" w:lineRule="auto"/>
        <w:ind w:left="720" w:hanging="720"/>
        <w:rPr>
          <w:rFonts w:ascii="Times New Roman" w:hAnsi="Times New Roman" w:cs="Times New Roman"/>
          <w:sz w:val="24"/>
          <w:szCs w:val="24"/>
        </w:rPr>
      </w:pPr>
      <w:r w:rsidRPr="00E7777C">
        <w:rPr>
          <w:rFonts w:ascii="Times New Roman" w:hAnsi="Times New Roman" w:cs="Times New Roman"/>
          <w:sz w:val="24"/>
          <w:szCs w:val="24"/>
        </w:rPr>
        <w:t>Campana, D., &amp; Pui, C. H. (2017). Minimal residual disease–guided therapy in childhood acute lymphoblastic leukemia. </w:t>
      </w:r>
      <w:r w:rsidRPr="00E7777C">
        <w:rPr>
          <w:rFonts w:ascii="Times New Roman" w:hAnsi="Times New Roman" w:cs="Times New Roman"/>
          <w:i/>
          <w:iCs/>
          <w:sz w:val="24"/>
          <w:szCs w:val="24"/>
        </w:rPr>
        <w:t xml:space="preserve">Blood, </w:t>
      </w:r>
      <w:r w:rsidRPr="00E7777C">
        <w:rPr>
          <w:rFonts w:ascii="Times New Roman" w:hAnsi="Times New Roman" w:cs="Times New Roman"/>
          <w:i/>
          <w:iCs/>
          <w:sz w:val="24"/>
          <w:szCs w:val="24"/>
        </w:rPr>
        <w:t>The</w:t>
      </w:r>
      <w:r w:rsidRPr="00E7777C">
        <w:rPr>
          <w:rFonts w:ascii="Times New Roman" w:hAnsi="Times New Roman" w:cs="Times New Roman"/>
          <w:i/>
          <w:iCs/>
          <w:sz w:val="24"/>
          <w:szCs w:val="24"/>
        </w:rPr>
        <w:t xml:space="preserve"> Journal of the American Society of Hematology</w:t>
      </w:r>
      <w:r w:rsidRPr="00E7777C">
        <w:rPr>
          <w:rFonts w:ascii="Times New Roman" w:hAnsi="Times New Roman" w:cs="Times New Roman"/>
          <w:sz w:val="24"/>
          <w:szCs w:val="24"/>
        </w:rPr>
        <w:t>, </w:t>
      </w:r>
      <w:r w:rsidRPr="00E7777C">
        <w:rPr>
          <w:rFonts w:ascii="Times New Roman" w:hAnsi="Times New Roman" w:cs="Times New Roman"/>
          <w:i/>
          <w:iCs/>
          <w:sz w:val="24"/>
          <w:szCs w:val="24"/>
        </w:rPr>
        <w:t>129</w:t>
      </w:r>
      <w:r w:rsidRPr="00E7777C">
        <w:rPr>
          <w:rFonts w:ascii="Times New Roman" w:hAnsi="Times New Roman" w:cs="Times New Roman"/>
          <w:sz w:val="24"/>
          <w:szCs w:val="24"/>
        </w:rPr>
        <w:t>(14), 1913-1918.</w:t>
      </w:r>
    </w:p>
    <w:p w:rsidR="00E7777C" w:rsidRPr="00E7777C" w:rsidP="00E7777C">
      <w:pPr>
        <w:spacing w:line="480" w:lineRule="auto"/>
        <w:ind w:left="720" w:hanging="720"/>
        <w:rPr>
          <w:rFonts w:ascii="Times New Roman" w:hAnsi="Times New Roman" w:cs="Times New Roman"/>
          <w:sz w:val="24"/>
          <w:szCs w:val="24"/>
        </w:rPr>
      </w:pPr>
      <w:r w:rsidRPr="00E7777C">
        <w:rPr>
          <w:rFonts w:ascii="Times New Roman" w:hAnsi="Times New Roman" w:cs="Times New Roman"/>
          <w:sz w:val="24"/>
          <w:szCs w:val="24"/>
        </w:rPr>
        <w:t>Cappellini, M. D., &amp; Fiorelli, G. E. M. I. N. O. (2008). Glucose-6-phosphate dehydrogenase deficiency. </w:t>
      </w:r>
      <w:r w:rsidRPr="00E7777C">
        <w:rPr>
          <w:rFonts w:ascii="Times New Roman" w:hAnsi="Times New Roman" w:cs="Times New Roman"/>
          <w:i/>
          <w:iCs/>
          <w:sz w:val="24"/>
          <w:szCs w:val="24"/>
        </w:rPr>
        <w:t>The Lancet</w:t>
      </w:r>
      <w:r w:rsidRPr="00E7777C">
        <w:rPr>
          <w:rFonts w:ascii="Times New Roman" w:hAnsi="Times New Roman" w:cs="Times New Roman"/>
          <w:sz w:val="24"/>
          <w:szCs w:val="24"/>
        </w:rPr>
        <w:t>, </w:t>
      </w:r>
      <w:r w:rsidRPr="00E7777C">
        <w:rPr>
          <w:rFonts w:ascii="Times New Roman" w:hAnsi="Times New Roman" w:cs="Times New Roman"/>
          <w:i/>
          <w:iCs/>
          <w:sz w:val="24"/>
          <w:szCs w:val="24"/>
        </w:rPr>
        <w:t>371</w:t>
      </w:r>
      <w:r w:rsidRPr="00E7777C">
        <w:rPr>
          <w:rFonts w:ascii="Times New Roman" w:hAnsi="Times New Roman" w:cs="Times New Roman"/>
          <w:sz w:val="24"/>
          <w:szCs w:val="24"/>
        </w:rPr>
        <w:t>(9606), 64-74.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82624847"/>
      <w:docPartObj>
        <w:docPartGallery w:val="Page Numbers (Top of Page)"/>
        <w:docPartUnique/>
      </w:docPartObj>
    </w:sdtPr>
    <w:sdtEndPr>
      <w:rPr>
        <w:rFonts w:ascii="Times New Roman" w:hAnsi="Times New Roman" w:cs="Times New Roman"/>
        <w:noProof/>
        <w:sz w:val="24"/>
        <w:szCs w:val="24"/>
      </w:rPr>
    </w:sdtEndPr>
    <w:sdtContent>
      <w:p w:rsidR="0007024F" w:rsidRPr="0007024F">
        <w:pPr>
          <w:pStyle w:val="Header"/>
          <w:jc w:val="right"/>
          <w:rPr>
            <w:rFonts w:ascii="Times New Roman" w:hAnsi="Times New Roman" w:cs="Times New Roman"/>
            <w:sz w:val="24"/>
            <w:szCs w:val="24"/>
          </w:rPr>
        </w:pPr>
        <w:r w:rsidRPr="0007024F">
          <w:rPr>
            <w:rFonts w:ascii="Times New Roman" w:hAnsi="Times New Roman" w:cs="Times New Roman"/>
            <w:sz w:val="24"/>
            <w:szCs w:val="24"/>
          </w:rPr>
          <w:fldChar w:fldCharType="begin"/>
        </w:r>
        <w:r w:rsidRPr="0007024F">
          <w:rPr>
            <w:rFonts w:ascii="Times New Roman" w:hAnsi="Times New Roman" w:cs="Times New Roman"/>
            <w:sz w:val="24"/>
            <w:szCs w:val="24"/>
          </w:rPr>
          <w:instrText xml:space="preserve"> PAGE   \* MERGEFORMAT </w:instrText>
        </w:r>
        <w:r w:rsidRPr="0007024F">
          <w:rPr>
            <w:rFonts w:ascii="Times New Roman" w:hAnsi="Times New Roman" w:cs="Times New Roman"/>
            <w:sz w:val="24"/>
            <w:szCs w:val="24"/>
          </w:rPr>
          <w:fldChar w:fldCharType="separate"/>
        </w:r>
        <w:r w:rsidR="00924CA1">
          <w:rPr>
            <w:rFonts w:ascii="Times New Roman" w:hAnsi="Times New Roman" w:cs="Times New Roman"/>
            <w:noProof/>
            <w:sz w:val="24"/>
            <w:szCs w:val="24"/>
          </w:rPr>
          <w:t>4</w:t>
        </w:r>
        <w:r w:rsidRPr="0007024F">
          <w:rPr>
            <w:rFonts w:ascii="Times New Roman" w:hAnsi="Times New Roman" w:cs="Times New Roman"/>
            <w:noProof/>
            <w:sz w:val="24"/>
            <w:szCs w:val="24"/>
          </w:rPr>
          <w:fldChar w:fldCharType="end"/>
        </w:r>
      </w:p>
    </w:sdtContent>
  </w:sdt>
  <w:p w:rsidR="000702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F4A"/>
    <w:rsid w:val="0007024F"/>
    <w:rsid w:val="00086CD4"/>
    <w:rsid w:val="000B2F4A"/>
    <w:rsid w:val="00184D11"/>
    <w:rsid w:val="00256761"/>
    <w:rsid w:val="00380BFC"/>
    <w:rsid w:val="003A2102"/>
    <w:rsid w:val="003E78C3"/>
    <w:rsid w:val="00450A68"/>
    <w:rsid w:val="00472A97"/>
    <w:rsid w:val="00593CA7"/>
    <w:rsid w:val="005B0548"/>
    <w:rsid w:val="00637D3A"/>
    <w:rsid w:val="006B0880"/>
    <w:rsid w:val="00784EF5"/>
    <w:rsid w:val="00830A24"/>
    <w:rsid w:val="00924CA1"/>
    <w:rsid w:val="00BA6798"/>
    <w:rsid w:val="00CF5FBA"/>
    <w:rsid w:val="00E35406"/>
    <w:rsid w:val="00E7777C"/>
    <w:rsid w:val="00EA056D"/>
    <w:rsid w:val="00ED4923"/>
    <w:rsid w:val="00F07760"/>
    <w:rsid w:val="00FD05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AAF7A86-B01C-4643-B7D7-09EC34FD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760"/>
    <w:rPr>
      <w:color w:val="0563C1" w:themeColor="hyperlink"/>
      <w:u w:val="single"/>
    </w:rPr>
  </w:style>
  <w:style w:type="paragraph" w:styleId="Header">
    <w:name w:val="header"/>
    <w:basedOn w:val="Normal"/>
    <w:link w:val="HeaderChar"/>
    <w:uiPriority w:val="99"/>
    <w:unhideWhenUsed/>
    <w:rsid w:val="00070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24F"/>
  </w:style>
  <w:style w:type="paragraph" w:styleId="Footer">
    <w:name w:val="footer"/>
    <w:basedOn w:val="Normal"/>
    <w:link w:val="FooterChar"/>
    <w:uiPriority w:val="99"/>
    <w:unhideWhenUsed/>
    <w:rsid w:val="00070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2020-06-10T15:03:00Z</dcterms:created>
  <dcterms:modified xsi:type="dcterms:W3CDTF">2020-06-10T16:36:00Z</dcterms:modified>
</cp:coreProperties>
</file>